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right="0" w:hanging="0"/>
        <w:jc w:val="center"/>
        <w:spacing w:after="0" w:before="0"/>
        <w:shd w:val="clear" w:color="auto" w:fill="FFFFFF"/>
        <w:rPr>
          <w:rFonts w:ascii="Tahoma" w:hAnsi="Tahoma" w:cs="Tahoma" w:eastAsia="Tahoma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  <w:r>
        <w:rPr>
          <w:rFonts w:ascii="Times New Roman" w:hAnsi="Times New Roman" w:cs="Times New Roman" w:eastAsia="Times New Roman"/>
          <w:b/>
          <w:i/>
          <w:color w:val="252525"/>
          <w:sz w:val="24"/>
          <w:highlight w:val="yellow"/>
        </w:rPr>
        <w:t xml:space="preserve">"14" декабря 2015г</w:t>
      </w:r>
      <w:r>
        <w:rPr>
          <w:rFonts w:ascii="Times New Roman" w:hAnsi="Times New Roman" w:cs="Times New Roman" w:eastAsia="Times New Roman"/>
          <w:b/>
          <w:i/>
          <w:color w:val="000080"/>
          <w:sz w:val="24"/>
          <w:highlight w:val="yellow"/>
        </w:rPr>
        <w:t xml:space="preserve">.</w:t>
      </w:r>
      <w:r/>
    </w:p>
    <w:tbl>
      <w:tblPr>
        <w:tblStyle w:val="2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15"/>
        <w:gridCol w:w="4406"/>
        <w:gridCol w:w="1363"/>
        <w:gridCol w:w="1515"/>
      </w:tblGrid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№ п/п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Фамилия, Имя,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 Отчество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Занимаемая должность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Дата проведения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Место проведения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Алексеев Андрей Александрович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Старший научный сотрудник отдела технологии скотоводства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2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Кочеткова Ирина Сергеевна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отдела технологии скотоводства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3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Красавина Наталия Венедиктовна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отдела технологии скотоводства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4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Лукичев Виктор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Леонидович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отдела технологии скотоводства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5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Муратов Виктор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Иванович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отдела технологии скотоводства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6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Муратова Нина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Серафимовна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Заведующая отделом технологии скотоводства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7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Танифа Виктор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Васильевич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Заместитель директора по научной работе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8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Шубина Любовь Александровна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Старший научный сотрудник отдела технологии скотоводства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9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Косоуров Денис Александрович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отдела кормопроизводства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и первичного семеноводства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0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Мазуровская Диана Ефимовна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отдела кормопроизводства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 и первичного семеноводства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1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Сабитов Гайрат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Абдулхаевич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Заведующий отделом кормопроизводства и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первичного семеноводства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14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</w:tbl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252525"/>
          <w:sz w:val="24"/>
          <w:highlight w:val="yellow"/>
        </w:rPr>
        <w:t xml:space="preserve">"15" декабря 2015 г.</w:t>
      </w:r>
      <w:r/>
    </w:p>
    <w:tbl>
      <w:tblPr>
        <w:tblStyle w:val="2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18"/>
        <w:gridCol w:w="4620"/>
        <w:gridCol w:w="1414"/>
        <w:gridCol w:w="947"/>
      </w:tblGrid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№ п/п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Фамилия, Имя,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 Отчество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Занимаемая должность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Дата проведения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Место проведения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2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Барышева Мария Сергеевна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Старший научный сотрудник лаборатории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селекции и разведения с-х животных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3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Гарин Руслан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Демурович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лаборатории селекции и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 разведения с-х животных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4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Ильина Анна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Владимировна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Заведующая лабораторией иммуногенетики и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биотехнологии, ученый секретарь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5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Коптев Валентин Викторович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лаборатории иммуногенетики и биотехнологии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6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Коптева Елена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Александровна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лаборатории иммуногенетики и биотехнологии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ind w:left="171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6.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Костылев Михаил Николаевич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Ведущий научный сотрудник лаборатории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селекции и разведения с-х животных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7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Косяченко Николай Михайлович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Главный научный сотрудник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8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Лукичев Дмитрий Леонидович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Старший научный сотрудник лаборатории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селекции и разведения с-х животных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5" w:type="dxa"/>
            <w:textDirection w:val="lrTb"/>
            <w:noWrap w:val="false"/>
          </w:tcPr>
          <w:p>
            <w:pPr>
              <w:pStyle w:val="128"/>
              <w:numPr>
                <w:ilvl w:val="0"/>
                <w:numId w:val="19"/>
              </w:numPr>
              <w:ind w:right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8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Хуртина Ольга</w:t>
            </w:r>
            <w:r/>
          </w:p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Александровна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2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Научный сотрудник лаборатории иммуногенетики и биотехнологии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4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15 декабря 2015 г.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Малый актовый зал</w:t>
            </w:r>
            <w:r/>
          </w:p>
        </w:tc>
      </w:tr>
    </w:tbl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jc w:val="righ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525"/>
          <w:sz w:val="20"/>
        </w:rPr>
        <w:t xml:space="preserve">«УТВЕРЖДЕНО»</w:t>
      </w:r>
      <w:r/>
    </w:p>
    <w:p>
      <w:pPr>
        <w:ind w:left="0" w:right="0" w:hanging="0"/>
        <w:jc w:val="righ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Решением Ученого Совета</w:t>
      </w:r>
      <w:r/>
    </w:p>
    <w:p>
      <w:pPr>
        <w:ind w:left="0" w:right="0" w:hanging="0"/>
        <w:jc w:val="righ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ФГБНУ ЯрНИИЖК</w:t>
      </w:r>
      <w:r/>
    </w:p>
    <w:p>
      <w:pPr>
        <w:ind w:left="0" w:right="0" w:hanging="0"/>
        <w:jc w:val="righ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протокол №4 от 22.10.2015</w:t>
      </w:r>
      <w:r/>
    </w:p>
    <w:p>
      <w:pPr>
        <w:ind w:left="0" w:right="0" w:hanging="0"/>
        <w:jc w:val="righ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Директор _______________/А.В. Коновалов/</w:t>
      </w:r>
      <w:r/>
    </w:p>
    <w:p>
      <w:pPr>
        <w:ind w:left="0" w:right="0" w:hanging="0"/>
        <w:jc w:val="righ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«13» октября 2015г.</w:t>
      </w:r>
      <w:r/>
    </w:p>
    <w:p>
      <w:pPr>
        <w:ind w:left="0" w:right="0" w:hanging="0"/>
        <w:jc w:val="righ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                            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525"/>
          <w:sz w:val="20"/>
        </w:rPr>
        <w:t xml:space="preserve">ПОЛОЖЕНИЕ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525"/>
          <w:sz w:val="20"/>
        </w:rPr>
        <w:t xml:space="preserve">О ПОРЯДКЕ ПРОВЕДЕНИЯ АТТЕСТАЦИИ РАБОТНИКОВ, ЗАНИМАЮЩИХ ДОЛЖНОСТИ НАУЧНЫХ РАБОТНИКОВ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525"/>
          <w:sz w:val="20"/>
        </w:rPr>
        <w:t xml:space="preserve">Федерального государственного бюджетного научного учреждения «Ярославский научно-исследовательский институт животноводства и кормопроизводства»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525"/>
          <w:sz w:val="20"/>
        </w:rPr>
        <w:t xml:space="preserve">ОБЩИЕ ПОЛОЖЕНИЯ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1. Порядок проведения аттестации работников, занимающих должности научных работников, определяет правила, основные задачи и принципы проведения аттестации работников, занимающих должности научных работников в научных организациях,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а также в иных организациях, осуществляющих научную и (или) научно-техническую деятельность (далее соответственно - Порядок, работники, организации).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2. 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3. Аттестации не подлежат: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а) научные работники, трудовые договоры с которыми заключены на определенный срок;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б) беременные женщины;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в) женщины, находящиеся в отпуске по беременности и родам;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г) работники, находящиеся в отпуске по уходу за ребенком до достижения им возраста трех лет.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Аттестация работников, перечисленных в </w:t>
      </w:r>
      <w:hyperlink r:id="rId8" w:anchor="Par39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подпунктах "в"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и </w:t>
      </w:r>
      <w:hyperlink r:id="rId9" w:anchor="Par40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"г"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настоящего пункта, возможна не ранее чем через один год после их выхода из указанных отпусков.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4. Аттестация проводится в сроки, определяемые локальным нормативным актом организации, но не чаще одного раза в два года и не реже одного раза в пять лет &lt;*&gt;.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5.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доводится до сведения работников, подлежащих аттестации, не позднее чем за 30 календарных дней до дня проведения аттестации способом, принятым в организации, в том числе под роспись, а также с помощью отправки электронного сообщения работнику.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--------------------------------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&lt;*&gt; </w:t>
      </w:r>
      <w:hyperlink r:id="rId10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Часть 7 статьи 336.1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2866;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42, ст. 72).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5. Решение о проведении аттестации работников, дате, месте и времени проведения аттестации принимается директором Института (уполномоченным им лицом) и доводится до сведения работников, подлежащих аттестации, не позднее чем за 30 календарных дней до дня проведения аттестации способом, принятым в организации, в том числе под роспись, а также с помощью отправки электронного сообщения работнику.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6. При проведении аттестации работников объективно оцениваются: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результаты научной деятельности работников 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личный вклад работников в развитие науки, решение научных проблем в соответствующей области знаний и влияние такого вклада на результативность и развитие организации;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7. В целях проведения аттестации для каждого научного работника Институт определяет основные задачи, а также на основании примерного перечня количественных показателей результативности труда (</w:t>
      </w:r>
      <w:hyperlink r:id="rId11" w:anchor="Par96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приложение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1 к настоящему Порядку) устанавливает индивидуальный перечень количественных показателей результативности труда, применяемый в целях проведения аттестации.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Значения соответствующих количественных показателей результативности труда устанавливаются Институтом не позднее чем за два года до проведения очередной аттестации, с учетом значений, достигнутых референтной группой, в которую входит организация в соответствии с </w:t>
      </w:r>
      <w:hyperlink r:id="rId12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Правилами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утвержденными постановлением Правительства Российской Федерации от 8 апреля 2009 г. N 312 (Собрание законодательства Российской Федерации, 2009, N 15, ст. 1841; 2013, N 45, ст. 5815). Для каждого из видов показателей результативности труда научная организация вправе определить критерии качества результатов.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Институт в соответствии с условиями трудового договора обязан ознакомить научного работника с установленным для него индивидуальным перечнем количественных показателей результативности труда и критериями качества результатов.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Количественные показатели результативности труда могут быть достигнуты лично научным работником, либо возглавляемым им подразделением (научной группой).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8. Аттестация проводится путем количественной и качественной оценки результативности труда работников на основе сведений содержащихся в информационной базе сведений о результатах трудовой деятельности работников (далее соответственно - сведения о результатах, информационная база), которая ведется в соответствии с </w:t>
      </w:r>
      <w:hyperlink r:id="rId13" w:anchor="Par59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пунктом 9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настоящего Порядка. При проведении такой оценки учитываются личные результаты и (или) личный вклад работника и (или) вклад возглавляемого работником подразделения (научной группы) по следующим направлениям: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а) формирование новых целей, направлений и тематик научной, научно-технической, инновационной деятельности организации;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б) соответствие количественных и качественных показателей результативности труда работника целям и задачам организации, ожидаемому вкладу работника в результативность организации с учетом эквивалентных показателей научных организаций референтной группы, в которую входит организация;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в) количественные и качественные показатели результативности труда работника, полученные им, в том числе возникающие в ходе выполнения основных научных, научно-технических проектов организации.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9. В целях проведения аттестации Институт ведет информационную базу, порядок ведения которой и состав содержащихся в ней сведений определяются Институтом самостоятельно с учетом требований </w:t>
      </w:r>
      <w:hyperlink r:id="rId14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законодательства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Российской Федерации о защите персональных данных и </w:t>
      </w:r>
      <w:hyperlink r:id="rId15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законодательства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Российской Федерации о государственной и иной охраняемой законом тайне.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Сведения о результатах вносятся в информационную базу уполномоченным работником организации и (или) непосредственно самим работником по мере необходимости, в том числе при получении новых результатов.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Сведения о результатах могут быть получены организацией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работнику.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Проверку полноты и достоверности сведений, содержащихся в информационной базе, осуществляет сам работник, который при обнаружении неактуальных сведений о себе вправе обратиться в Институт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работник обеспечивает в течение 20 календарных дней со дня оповещения его о проведении аттестации.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10. Для проведения аттестации в Институте создается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В состав аттестационной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Председателем аттестационной комиссии является директор Института.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Функции секретаря комиссии исполняет уполномоченный работник организации, обеспечивающий внесение сведений о результатах в информационную базу в соответствии с </w:t>
      </w:r>
      <w:hyperlink r:id="rId16" w:anchor="Par59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пунктом 9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настоящего Порядка.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Положение об аттестационной комиссии, ее состав и порядок работы определяются организацией и размещаются на официальном сайте организации в информационно-телекоммуникационной сети "Интернет".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11. Уполномоченный работник организации при проведении аттестации проводит сопоставление достигнутых количественных показателей результативности труда количественным показателям результативности труда, установленным для работника в индивидуальном перечне согласно </w:t>
      </w:r>
      <w:hyperlink r:id="rId17" w:anchor="Par51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пункту 7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настоящего Порядка.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В случае,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В противном случае на заседании аттестационной комиссии рассматриваются количественные и качественные показатели в соответствии с направлениями деятельности научной организации при необходимости при личном участии работника.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12. Аттестационной комиссией принимается одно из следующих решений: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а) соответствует занимаемой должности (указывается должность научного работника);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б) не соответствует занимаемой должности (указывается должность научного работника и причины несоответствия).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13. 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Заседание аттестационной комиссии считается правомочным, если на нем присутствуют не менее двух третей ее членов.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При равенстве голосов окончательное решение принимает председательствующий на аттестационной комиссии.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14. 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решения направляется работнику и размещается организацией в единой информационной системе по адресу "ученые-исследователи.рф".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15.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</w:t>
      </w:r>
      <w:hyperlink r:id="rId18" w:history="1">
        <w:r>
          <w:rPr>
            <w:rStyle w:val="51"/>
            <w:rFonts w:ascii="Times New Roman" w:hAnsi="Times New Roman" w:cs="Times New Roman" w:eastAsia="Times New Roman"/>
            <w:color w:val="6EA920"/>
            <w:sz w:val="20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252525"/>
          <w:sz w:val="20"/>
        </w:rPr>
        <w:t xml:space="preserve"> Российской Федерации.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16. Работник вправе обжаловать результаты аттестации в соответствии с законодательством Российской Федерации.</w:t>
      </w:r>
      <w:r/>
    </w:p>
    <w:p>
      <w:pPr>
        <w:ind w:left="0" w:right="0" w:hanging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Ученый секретарь                                                       к.с-х.н., А.В. Ильина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                                                                                                 Приложение № 1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к Положению о порядке проведения аттестации работников, занимающих должности научных работников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ФГБНУ ЯрНИИЖК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52525"/>
          <w:sz w:val="20"/>
        </w:rPr>
        <w:t xml:space="preserve">Примерная анкета научного работника ФГБНУ ЯрНИИЖК</w:t>
      </w:r>
      <w:r/>
    </w:p>
    <w:p>
      <w:pPr>
        <w:ind w:left="0" w:right="0" w:hanging="0"/>
        <w:jc w:val="center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ФИО____________________________________________________________________________________________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Структурное подразделение ________________________________________________________________________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tbl>
      <w:tblPr>
        <w:tblStyle w:val="2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95"/>
        <w:gridCol w:w="82"/>
        <w:gridCol w:w="2250"/>
      </w:tblGrid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Показатель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Значение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Трудовой стаж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в т.н. научный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Руководство отделом, лабораторией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Заведующий отделом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Заведующий лабораторией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Научный потенциал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Ученая степень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Доктор наук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Кандидат наук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Ученое звание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Академик государственной академии наук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Член-корреспондент государственной академии наук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Профессор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Доцент (старший научный сотрудник)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Почетное звание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Заслуженный или почетный работник отрасли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Участие в работе диссертационных советов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Председатель, ученый секретарь диссертационного совета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Член диссертационного совета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z w:val="20"/>
              </w:rPr>
              <w:t xml:space="preserve">Научно-исследовательская деятельность за 2011-2015 гг.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Подготовка научных кадров, чел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Докторов наук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Кандидатов наук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Консультирование докторанта (соискателя)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Научное руководство аспирантом (соискателем)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Количество изданных монографий, шт.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Центральным или зарубежным издательством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Региональным издательством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Количество изданных научных статей, шт.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В рецензируемых журналах (по списку ВАК)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В научных сборниках и периодических научных изданиях, международных и зарубежных журналах и сборниках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В СМИ и местной печати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Количество изданной справочной, методической литературы, шт.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Методические рекомендации, пособия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Селекционные программы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Практические руководства, информационные листки и т.д.</w:t>
            </w:r>
            <w:r/>
          </w:p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Участие в научных мероприятиях, шт.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Международные, всероссийские, региональные конференции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Симпозиумы, совещания, семинары и т. д.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Изобретательская, лицензионная и выставочная деятельность</w:t>
            </w: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шт.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Получено авторских свидетельств, патентов, лицензий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Подано заявок на получение патентов, авторских свидетельств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Получено медалей, дипломов ВВЦ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252525"/>
                <w:sz w:val="20"/>
              </w:rPr>
              <w:t xml:space="preserve">Научные исследования, руб.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Международные и федеральные программы (гранты), руб.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Региональные программы (гранты), руб.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7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Соблюдение требований предъявляемых к хоздоговорной работе (100 тыс. руб. / год на 1 научного работника)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27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Участие сотрудника в работе выборных органов, комиссий, общественной жизни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95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Член Ученого совета Института</w:t>
            </w:r>
            <w:r/>
          </w:p>
        </w:tc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32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95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Член профкома сотрудников Института</w:t>
            </w:r>
            <w:r/>
          </w:p>
        </w:tc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32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95" w:type="dxa"/>
            <w:textDirection w:val="lrTb"/>
            <w:noWrap w:val="false"/>
          </w:tcPr>
          <w:p>
            <w:pPr>
              <w:ind w:left="0" w:right="0" w:hanging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252525"/>
                <w:sz w:val="20"/>
              </w:rPr>
              <w:t xml:space="preserve">Член аттестационной комиссии</w:t>
            </w:r>
            <w:r/>
          </w:p>
        </w:tc>
        <w:tc>
          <w:tcPr>
            <w:gridSpan w:val="2"/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32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95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  <w:tc>
          <w:tcPr>
            <w:tcBorders>
              <w:left w:val="single" w:color="808080" w:sz="4" w:space="0"/>
              <w:top w:val="single" w:color="808080" w:sz="4" w:space="0"/>
              <w:right w:val="single" w:color="808080" w:sz="4" w:space="0"/>
              <w:bottom w:val="single" w:color="80808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50" w:type="dxa"/>
            <w:textDirection w:val="lrTb"/>
            <w:noWrap w:val="false"/>
          </w:tcPr>
          <w:p>
            <w:pPr>
              <w:spacing w:lineRule="atLeast" w:line="240" w:after="0" w:before="0"/>
            </w:pPr>
            <w:r>
              <w:rPr>
                <w:rFonts w:ascii="Tahoma" w:hAnsi="Tahoma" w:cs="Tahoma" w:eastAsia="Tahoma"/>
                <w:color w:val="252525"/>
                <w:sz w:val="20"/>
              </w:rPr>
              <w:t xml:space="preserve"> </w:t>
            </w:r>
            <w:r/>
          </w:p>
        </w:tc>
      </w:tr>
    </w:tbl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ahoma" w:hAnsi="Tahoma" w:cs="Tahoma" w:eastAsia="Tahoma"/>
          <w:color w:val="252525"/>
          <w:sz w:val="20"/>
        </w:rPr>
        <w:t xml:space="preserve"> 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Личная подпись ____________/_______________/</w:t>
      </w:r>
      <w:r/>
    </w:p>
    <w:p>
      <w:pPr>
        <w:ind w:left="0" w:right="0" w:hanging="0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52525"/>
          <w:sz w:val="20"/>
        </w:rPr>
        <w:t xml:space="preserve">Подпись руководителя структурного подразделения ____________/_______________/</w:t>
      </w:r>
      <w:r/>
      <w:r/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right"/>
      <w:pPr>
        <w:ind w:left="720" w:hanging="359"/>
      </w:pPr>
    </w:lvl>
    <w:lvl w:ilvl="1">
      <w:start w:val="1"/>
      <w:numFmt w:val="decimal"/>
      <w:suff w:val="tab"/>
      <w:lvlText w:val="%2."/>
      <w:lvlJc w:val="right"/>
      <w:pPr>
        <w:ind w:left="1440" w:hanging="359"/>
      </w:pPr>
    </w:lvl>
    <w:lvl w:ilvl="2">
      <w:start w:val="1"/>
      <w:numFmt w:val="decimal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right"/>
      <w:pPr>
        <w:ind w:left="2880" w:hanging="359"/>
      </w:pPr>
    </w:lvl>
    <w:lvl w:ilvl="4">
      <w:start w:val="1"/>
      <w:numFmt w:val="decimal"/>
      <w:suff w:val="tab"/>
      <w:lvlText w:val="%5."/>
      <w:lvlJc w:val="right"/>
      <w:pPr>
        <w:ind w:left="3600" w:hanging="359"/>
      </w:pPr>
    </w:lvl>
    <w:lvl w:ilvl="5">
      <w:start w:val="1"/>
      <w:numFmt w:val="decimal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right"/>
      <w:pPr>
        <w:ind w:left="5040" w:hanging="359"/>
      </w:pPr>
    </w:lvl>
    <w:lvl w:ilvl="7">
      <w:start w:val="1"/>
      <w:numFmt w:val="decimal"/>
      <w:suff w:val="tab"/>
      <w:lvlText w:val="%8."/>
      <w:lvlJc w:val="right"/>
      <w:pPr>
        <w:ind w:left="5760" w:hanging="359"/>
      </w:pPr>
    </w:lvl>
    <w:lvl w:ilvl="8">
      <w:start w:val="1"/>
      <w:numFmt w:val="decimal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yarniizhik.ucoz.ru/news/informacija_o_provedenii_attestacii_rabotnikov_zanimajushhikh_dolzhnosti_nauchnykh_rabotnikov_fgbnu_jarniizhk/2015-11-13-47" TargetMode="External"/><Relationship Id="rId9" Type="http://schemas.openxmlformats.org/officeDocument/2006/relationships/hyperlink" Target="http://yarniizhik.ucoz.ru/news/informacija_o_provedenii_attestacii_rabotnikov_zanimajushhikh_dolzhnosti_nauchnykh_rabotnikov_fgbnu_jarniizhk/2015-11-13-47" TargetMode="External"/><Relationship Id="rId10" Type="http://schemas.openxmlformats.org/officeDocument/2006/relationships/hyperlink" Target="consultantplus://offline/ref=E3026E9684E286A9CAEEB209393D0D13332DCA44EED1A45AB582D0C809C9B53EC50F24528E87r23DJ" TargetMode="External"/><Relationship Id="rId11" Type="http://schemas.openxmlformats.org/officeDocument/2006/relationships/hyperlink" Target="http://yarniizhik.ucoz.ru/news/informacija_o_provedenii_attestacii_rabotnikov_zanimajushhikh_dolzhnosti_nauchnykh_rabotnikov_fgbnu_jarniizhk/2015-11-13-47" TargetMode="External"/><Relationship Id="rId12" Type="http://schemas.openxmlformats.org/officeDocument/2006/relationships/hyperlink" Target="consultantplus://offline/ref=E3026E9684E286A9CAEEB209393D0D133320CC42E2DFA45AB582D0C809C9B53EC50F24518F842F80r133J" TargetMode="External"/><Relationship Id="rId13" Type="http://schemas.openxmlformats.org/officeDocument/2006/relationships/hyperlink" Target="http://yarniizhik.ucoz.ru/news/informacija_o_provedenii_attestacii_rabotnikov_zanimajushhikh_dolzhnosti_nauchnykh_rabotnikov_fgbnu_jarniizhk/2015-11-13-47" TargetMode="External"/><Relationship Id="rId14" Type="http://schemas.openxmlformats.org/officeDocument/2006/relationships/hyperlink" Target="consultantplus://offline/ref=E3026E9684E286A9CAEEB209393D0D133322C045E3DEA45AB582D0C809rC39J" TargetMode="External"/><Relationship Id="rId15" Type="http://schemas.openxmlformats.org/officeDocument/2006/relationships/hyperlink" Target="consultantplus://offline/ref=E3026E9684E286A9CAEEB209393D0D133B26C14AE7DCF950BDDBDCCAr03EJ" TargetMode="External"/><Relationship Id="rId16" Type="http://schemas.openxmlformats.org/officeDocument/2006/relationships/hyperlink" Target="http://yarniizhik.ucoz.ru/news/informacija_o_provedenii_attestacii_rabotnikov_zanimajushhikh_dolzhnosti_nauchnykh_rabotnikov_fgbnu_jarniizhk/2015-11-13-47" TargetMode="External"/><Relationship Id="rId17" Type="http://schemas.openxmlformats.org/officeDocument/2006/relationships/hyperlink" Target="http://yarniizhik.ucoz.ru/news/informacija_o_provedenii_attestacii_rabotnikov_zanimajushhikh_dolzhnosti_nauchnykh_rabotnikov_fgbnu_jarniizhk/2015-11-13-47" TargetMode="External"/><Relationship Id="rId18" Type="http://schemas.openxmlformats.org/officeDocument/2006/relationships/hyperlink" Target="consultantplus://offline/ref=E3026E9684E286A9CAEEB209393D0D13332DCA44EED1A45AB582D0C809rC39J" TargetMode="External"/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